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highlight w:val="none"/>
        </w:rPr>
      </w:r>
      <w:r>
        <w:rPr>
          <w:b w:val="0"/>
          <w:bCs w:val="0"/>
          <w:sz w:val="24"/>
          <w:highlight w:val="none"/>
        </w:rPr>
      </w:r>
    </w:p>
    <w:p>
      <w:pPr>
        <w:pStyle w:val="842"/>
        <w:jc w:val="right"/>
        <w:spacing w:after="120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</w:rPr>
        <w:t xml:space="preserve">Приложение </w:t>
      </w:r>
      <w:r>
        <w:rPr>
          <w:b w:val="0"/>
          <w:bCs w:val="0"/>
          <w:sz w:val="24"/>
        </w:rPr>
      </w:r>
      <w:r>
        <w:rPr>
          <w:b w:val="0"/>
          <w:bCs w:val="0"/>
          <w:sz w:val="24"/>
          <w:szCs w:val="24"/>
          <w:highlight w:val="none"/>
        </w:rPr>
      </w:r>
    </w:p>
    <w:p>
      <w:pPr>
        <w:jc w:val="right"/>
        <w:spacing w:after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</w:rPr>
        <w:t xml:space="preserve">к решению Муниципального </w: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p>
      <w:pPr>
        <w:jc w:val="right"/>
        <w:spacing w:after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</w:rPr>
        <w:t xml:space="preserve">совета Чернянского района </w: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p>
      <w:pPr>
        <w:jc w:val="right"/>
        <w:spacing w:after="120"/>
        <w:rPr>
          <w:b/>
          <w:bCs/>
          <w:sz w:val="24"/>
          <w:szCs w:val="24"/>
        </w:rPr>
      </w:pPr>
      <w:r>
        <w:rPr>
          <w:b w:val="0"/>
          <w:bCs w:val="0"/>
          <w:sz w:val="24"/>
        </w:rPr>
        <w:t xml:space="preserve">от 29 марта 2019г. №78</w:t>
      </w:r>
      <w:r>
        <w:rPr>
          <w:b/>
          <w:sz w:val="24"/>
        </w:rPr>
        <w:t xml:space="preserve"> </w:t>
      </w:r>
      <w:r>
        <w:rPr>
          <w:b/>
          <w:bCs/>
          <w:sz w:val="24"/>
          <w:szCs w:val="24"/>
        </w:rPr>
      </w:r>
    </w:p>
    <w:p>
      <w:pPr>
        <w:pStyle w:val="842"/>
        <w:jc w:val="center"/>
        <w:spacing w:after="12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Перечень и тарифы на платные услуги, предоставляемые муниципальным бюджетным учреждением «Комплексный центр социального обслуживания населения Чернянского района»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center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spacing w:after="12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Услуги социальный пункт проката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tbl>
      <w:tblPr>
        <w:tblStyle w:val="698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595"/>
        <w:gridCol w:w="2529"/>
        <w:gridCol w:w="1831"/>
      </w:tblGrid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№ п/п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Наименование платной услуги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Единица измерения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spacing w:after="120"/>
              <w:rPr>
                <w:b/>
                <w:bCs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  <w:t xml:space="preserve">Тариф (стоимость услуги) (в рублях)</w:t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Коляска инвалидная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10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Костыли(пара)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3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Трость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4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Ходунки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8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5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Подкладной круг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6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Судно(мочеприемник)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7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Противопролежневый матрац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10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8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Поильник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9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Ведро для туалета с сидением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10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Столик для кормления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5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11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Сидение в ванну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12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3595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Лечебные аппараты для домашнего пользования (тонометр,кварцевые лампы, ингаляторы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2529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сутки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  <w:tc>
          <w:tcPr>
            <w:tcW w:w="1831" w:type="dxa"/>
            <w:vMerge w:val="restart"/>
            <w:textDirection w:val="lrTb"/>
            <w:noWrap w:val="false"/>
          </w:tcPr>
          <w:p>
            <w:pPr>
              <w:jc w:val="center"/>
              <w:spacing w:after="120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szCs w:val="28"/>
                <w:highlight w:val="none"/>
              </w:rPr>
              <w:t xml:space="preserve">5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</w:p>
        </w:tc>
      </w:tr>
    </w:tbl>
    <w:p>
      <w:pPr>
        <w:jc w:val="center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</w:rPr>
      </w:r>
    </w:p>
    <w:p>
      <w:pPr>
        <w:pStyle w:val="842"/>
        <w:jc w:val="both"/>
        <w:spacing w:after="120"/>
        <w:rPr>
          <w:b/>
          <w:bCs/>
          <w:sz w:val="22"/>
          <w:szCs w:val="22"/>
          <w:u w:val="single"/>
        </w:rPr>
      </w:pPr>
      <w:r>
        <w:t xml:space="preserve">       </w:t>
      </w:r>
      <w:r>
        <w:rPr>
          <w:b/>
          <w:sz w:val="22"/>
          <w:u w:val="single"/>
        </w:rPr>
      </w:r>
      <w:r>
        <w:rPr>
          <w:b/>
          <w:bCs/>
          <w:sz w:val="22"/>
          <w:szCs w:val="22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p>
      <w:pPr>
        <w:jc w:val="both"/>
        <w:spacing w:after="120"/>
        <w:rPr>
          <w:b/>
          <w:bCs/>
          <w:sz w:val="22"/>
          <w:szCs w:val="22"/>
          <w:highlight w:val="none"/>
          <w:u w:val="single"/>
        </w:rPr>
      </w:pPr>
      <w:r>
        <w:rPr>
          <w:b/>
          <w:sz w:val="22"/>
          <w:highlight w:val="none"/>
          <w:u w:val="single"/>
        </w:rPr>
      </w:r>
      <w:r>
        <w:rPr>
          <w:b/>
          <w:sz w:val="22"/>
          <w:highlight w:val="none"/>
          <w:u w:val="single"/>
        </w:rPr>
      </w:r>
      <w:r>
        <w:rPr>
          <w:b/>
          <w:bCs/>
          <w:sz w:val="22"/>
          <w:szCs w:val="22"/>
          <w:highlight w:val="none"/>
          <w:u w:val="single"/>
        </w:rPr>
      </w:r>
    </w:p>
    <w:sectPr>
      <w:footnotePr/>
      <w:endnotePr/>
      <w:type w:val="nextPage"/>
      <w:pgSz w:w="11906" w:h="16838" w:orient="portrait"/>
      <w:pgMar w:top="180" w:right="566" w:bottom="5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  <w:tabs>
          <w:tab w:val="num" w:pos="14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  <w:tabs>
          <w:tab w:val="num" w:pos="284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  <w:tabs>
          <w:tab w:val="num" w:pos="462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  <w:tabs>
          <w:tab w:val="num" w:pos="7472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110" w:hanging="1110"/>
        <w:tabs>
          <w:tab w:val="num" w:pos="111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819" w:hanging="1110"/>
        <w:tabs>
          <w:tab w:val="num" w:pos="1819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2528" w:hanging="1110"/>
        <w:tabs>
          <w:tab w:val="num" w:pos="252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37" w:hanging="1110"/>
        <w:tabs>
          <w:tab w:val="num" w:pos="323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46" w:hanging="1110"/>
        <w:tabs>
          <w:tab w:val="num" w:pos="394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655" w:hanging="1110"/>
        <w:tabs>
          <w:tab w:val="num" w:pos="465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  <w:tabs>
          <w:tab w:val="num" w:pos="7472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  <w:tabs>
          <w:tab w:val="num" w:pos="106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  <w:tabs>
          <w:tab w:val="num" w:pos="28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  <w:tabs>
          <w:tab w:val="num" w:pos="462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85" w:hanging="1185"/>
        <w:tabs>
          <w:tab w:val="num" w:pos="118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894" w:hanging="1185"/>
        <w:tabs>
          <w:tab w:val="num" w:pos="189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03" w:hanging="1185"/>
        <w:tabs>
          <w:tab w:val="num" w:pos="260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12" w:hanging="1185"/>
        <w:tabs>
          <w:tab w:val="num" w:pos="331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21" w:hanging="1185"/>
        <w:tabs>
          <w:tab w:val="num" w:pos="402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  <w:tabs>
          <w:tab w:val="num" w:pos="7832" w:leader="none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2"/>
    <w:next w:val="84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2"/>
    <w:next w:val="842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2"/>
    <w:next w:val="842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2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next w:val="842"/>
    <w:link w:val="842"/>
    <w:qFormat/>
    <w:rPr>
      <w:sz w:val="28"/>
      <w:szCs w:val="28"/>
      <w:lang w:val="ru-RU" w:eastAsia="ru-RU" w:bidi="ar-SA"/>
    </w:rPr>
  </w:style>
  <w:style w:type="character" w:styleId="843">
    <w:name w:val="Основной шрифт абзаца"/>
    <w:next w:val="843"/>
    <w:link w:val="842"/>
    <w:semiHidden/>
  </w:style>
  <w:style w:type="table" w:styleId="844">
    <w:name w:val="Обычная таблица"/>
    <w:next w:val="844"/>
    <w:link w:val="842"/>
    <w:uiPriority w:val="99"/>
    <w:semiHidden/>
    <w:unhideWhenUsed/>
    <w:tblPr/>
  </w:style>
  <w:style w:type="numbering" w:styleId="845">
    <w:name w:val="Нет списка"/>
    <w:next w:val="845"/>
    <w:link w:val="842"/>
    <w:uiPriority w:val="99"/>
    <w:semiHidden/>
    <w:unhideWhenUsed/>
  </w:style>
  <w:style w:type="paragraph" w:styleId="846">
    <w:name w:val="Текст выноски"/>
    <w:basedOn w:val="842"/>
    <w:next w:val="846"/>
    <w:link w:val="8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7">
    <w:name w:val="Текст выноски Знак"/>
    <w:next w:val="847"/>
    <w:link w:val="846"/>
    <w:uiPriority w:val="99"/>
    <w:semiHidden/>
    <w:rPr>
      <w:rFonts w:ascii="Segoe UI" w:hAnsi="Segoe UI" w:cs="Segoe UI"/>
      <w:sz w:val="18"/>
      <w:szCs w:val="18"/>
    </w:rPr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  <w:style w:type="table" w:styleId="8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Firma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revision>64</cp:revision>
  <dcterms:created xsi:type="dcterms:W3CDTF">2010-11-17T06:40:00Z</dcterms:created>
  <dcterms:modified xsi:type="dcterms:W3CDTF">2024-02-15T05:28:28Z</dcterms:modified>
  <cp:version>1048576</cp:version>
</cp:coreProperties>
</file>